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E7B" w:rsidRDefault="00C974E3" w:rsidP="00480E7B">
      <w:pPr>
        <w:tabs>
          <w:tab w:val="left" w:pos="1534"/>
          <w:tab w:val="left" w:pos="2580"/>
          <w:tab w:val="left" w:pos="2985"/>
          <w:tab w:val="center" w:pos="4320"/>
          <w:tab w:val="right" w:pos="8640"/>
          <w:tab w:val="right" w:pos="10998"/>
        </w:tabs>
        <w:spacing w:after="120"/>
        <w:jc w:val="center"/>
        <w:rPr>
          <w:rFonts w:ascii="Century Schoolbook" w:eastAsia="Times New Roman" w:hAnsi="Century Schoolbook" w:cs="Times New Roman"/>
          <w:b/>
          <w:bCs/>
          <w:sz w:val="36"/>
          <w:szCs w:val="28"/>
          <w:lang w:val="en-US"/>
        </w:rPr>
      </w:pPr>
      <w:r>
        <w:rPr>
          <w:rFonts w:ascii="Century Schoolbook" w:eastAsia="Times New Roman" w:hAnsi="Century Schoolbook" w:cs="Times New Roman"/>
          <w:b/>
          <w:bCs/>
          <w:noProof/>
          <w:sz w:val="36"/>
          <w:szCs w:val="28"/>
          <w:lang w:val="en-US"/>
        </w:rPr>
        <w:drawing>
          <wp:anchor distT="0" distB="0" distL="114300" distR="114300" simplePos="0" relativeHeight="251658240" behindDoc="1" locked="0" layoutInCell="1" allowOverlap="1">
            <wp:simplePos x="0" y="0"/>
            <wp:positionH relativeFrom="column">
              <wp:posOffset>-60960</wp:posOffset>
            </wp:positionH>
            <wp:positionV relativeFrom="page">
              <wp:posOffset>356235</wp:posOffset>
            </wp:positionV>
            <wp:extent cx="1619250" cy="1559560"/>
            <wp:effectExtent l="0" t="0" r="0" b="2540"/>
            <wp:wrapTight wrapText="bothSides">
              <wp:wrapPolygon edited="0">
                <wp:start x="0" y="0"/>
                <wp:lineTo x="0" y="21371"/>
                <wp:lineTo x="21346" y="21371"/>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E7B">
        <w:rPr>
          <w:rFonts w:ascii="Century Schoolbook" w:eastAsia="Times New Roman" w:hAnsi="Century Schoolbook" w:cs="Times New Roman"/>
          <w:b/>
          <w:bCs/>
          <w:noProof/>
          <w:sz w:val="36"/>
          <w:szCs w:val="28"/>
          <w:lang w:val="en-US"/>
        </w:rPr>
        <w:drawing>
          <wp:inline distT="0" distB="0" distL="0" distR="0" wp14:anchorId="36CB78D9" wp14:editId="36E7F972">
            <wp:extent cx="2384425" cy="109773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ton Blue.png"/>
                    <pic:cNvPicPr/>
                  </pic:nvPicPr>
                  <pic:blipFill>
                    <a:blip r:embed="rId9">
                      <a:extLst>
                        <a:ext uri="{28A0092B-C50C-407E-A947-70E740481C1C}">
                          <a14:useLocalDpi xmlns:a14="http://schemas.microsoft.com/office/drawing/2010/main" val="0"/>
                        </a:ext>
                      </a:extLst>
                    </a:blip>
                    <a:stretch>
                      <a:fillRect/>
                    </a:stretch>
                  </pic:blipFill>
                  <pic:spPr>
                    <a:xfrm>
                      <a:off x="0" y="0"/>
                      <a:ext cx="2453845" cy="1129695"/>
                    </a:xfrm>
                    <a:prstGeom prst="rect">
                      <a:avLst/>
                    </a:prstGeom>
                  </pic:spPr>
                </pic:pic>
              </a:graphicData>
            </a:graphic>
          </wp:inline>
        </w:drawing>
      </w:r>
    </w:p>
    <w:p w:rsidR="00C974E3" w:rsidRDefault="00C974E3" w:rsidP="00480E7B">
      <w:pPr>
        <w:tabs>
          <w:tab w:val="left" w:pos="1534"/>
          <w:tab w:val="left" w:pos="2580"/>
          <w:tab w:val="left" w:pos="2985"/>
          <w:tab w:val="center" w:pos="4320"/>
          <w:tab w:val="right" w:pos="8640"/>
          <w:tab w:val="right" w:pos="10998"/>
        </w:tabs>
        <w:spacing w:after="120"/>
        <w:jc w:val="center"/>
        <w:rPr>
          <w:rFonts w:ascii="Century Schoolbook" w:eastAsia="Times New Roman" w:hAnsi="Century Schoolbook" w:cs="Times New Roman"/>
          <w:b/>
          <w:bCs/>
          <w:sz w:val="36"/>
          <w:szCs w:val="28"/>
          <w:lang w:val="en-US"/>
        </w:rPr>
      </w:pPr>
    </w:p>
    <w:p w:rsidR="00C974E3" w:rsidRDefault="00C974E3" w:rsidP="00480E7B">
      <w:pPr>
        <w:tabs>
          <w:tab w:val="left" w:pos="1534"/>
          <w:tab w:val="left" w:pos="2580"/>
          <w:tab w:val="left" w:pos="2985"/>
          <w:tab w:val="center" w:pos="4320"/>
          <w:tab w:val="right" w:pos="8640"/>
          <w:tab w:val="right" w:pos="10998"/>
        </w:tabs>
        <w:spacing w:after="120"/>
        <w:jc w:val="center"/>
        <w:rPr>
          <w:rFonts w:ascii="Century Schoolbook" w:eastAsia="Times New Roman" w:hAnsi="Century Schoolbook" w:cs="Times New Roman"/>
          <w:b/>
          <w:bCs/>
          <w:sz w:val="36"/>
          <w:szCs w:val="28"/>
          <w:lang w:val="en-US"/>
        </w:rPr>
      </w:pPr>
    </w:p>
    <w:p w:rsidR="00C974E3" w:rsidRDefault="00C974E3" w:rsidP="00C974E3">
      <w:pPr>
        <w:rPr>
          <w:b/>
          <w:color w:val="0070C0"/>
          <w:sz w:val="68"/>
        </w:rPr>
      </w:pPr>
      <w:r w:rsidRPr="009C22A0">
        <w:rPr>
          <w:b/>
          <w:color w:val="0070C0"/>
          <w:sz w:val="68"/>
        </w:rPr>
        <w:t>Cherry Tree</w:t>
      </w:r>
      <w:r w:rsidRPr="009C22A0">
        <w:rPr>
          <w:rFonts w:ascii="Calibri" w:hAnsi="Calibri"/>
          <w:b/>
          <w:color w:val="0070C0"/>
          <w:sz w:val="68"/>
        </w:rPr>
        <w:t xml:space="preserve"> </w:t>
      </w:r>
      <w:r w:rsidRPr="009C22A0">
        <w:rPr>
          <w:b/>
          <w:color w:val="0070C0"/>
          <w:sz w:val="68"/>
        </w:rPr>
        <w:t>Academy</w:t>
      </w:r>
    </w:p>
    <w:p w:rsidR="00C974E3" w:rsidRPr="00C974E3" w:rsidRDefault="00C974E3" w:rsidP="00C974E3">
      <w:pPr>
        <w:rPr>
          <w:b/>
          <w:color w:val="0070C0"/>
          <w:sz w:val="68"/>
          <w:szCs w:val="68"/>
        </w:rPr>
      </w:pPr>
      <w:r w:rsidRPr="00C974E3">
        <w:rPr>
          <w:b/>
          <w:color w:val="0070C0"/>
          <w:sz w:val="68"/>
          <w:szCs w:val="68"/>
        </w:rPr>
        <w:t>Information about Disabled Access</w:t>
      </w:r>
    </w:p>
    <w:p w:rsidR="00C974E3" w:rsidRDefault="00C974E3" w:rsidP="00480E7B">
      <w:pPr>
        <w:tabs>
          <w:tab w:val="left" w:pos="1534"/>
          <w:tab w:val="left" w:pos="2580"/>
          <w:tab w:val="left" w:pos="2985"/>
          <w:tab w:val="center" w:pos="4320"/>
          <w:tab w:val="right" w:pos="8640"/>
          <w:tab w:val="right" w:pos="10998"/>
        </w:tabs>
        <w:spacing w:after="120"/>
        <w:jc w:val="center"/>
        <w:rPr>
          <w:rFonts w:ascii="Century Schoolbook" w:eastAsia="Times New Roman" w:hAnsi="Century Schoolbook" w:cs="Times New Roman"/>
          <w:b/>
          <w:bCs/>
          <w:sz w:val="36"/>
          <w:szCs w:val="28"/>
          <w:lang w:val="en-US"/>
        </w:rPr>
      </w:pPr>
    </w:p>
    <w:p w:rsidR="00330670" w:rsidRDefault="00330670" w:rsidP="00180972">
      <w:pPr>
        <w:jc w:val="both"/>
        <w:rPr>
          <w:rFonts w:ascii="Calibri" w:hAnsi="Calibri" w:cs="Arial"/>
        </w:rPr>
      </w:pPr>
      <w:r w:rsidRPr="00330670">
        <w:rPr>
          <w:rFonts w:ascii="Calibri" w:hAnsi="Calibri" w:cs="Arial"/>
        </w:rPr>
        <w:t xml:space="preserve">Schools and the Education Authority must not discriminate against pupils with special educational needs for a reason relating to their disability. They should promote the inclusion of special educational needs pupils in their admission arrangements and in all aspects of school life. </w:t>
      </w:r>
    </w:p>
    <w:tbl>
      <w:tblPr>
        <w:tblStyle w:val="TableGrid"/>
        <w:tblW w:w="0" w:type="auto"/>
        <w:tblLook w:val="04A0" w:firstRow="1" w:lastRow="0" w:firstColumn="1" w:lastColumn="0" w:noHBand="0" w:noVBand="1"/>
      </w:tblPr>
      <w:tblGrid>
        <w:gridCol w:w="10456"/>
      </w:tblGrid>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EC0CC7">
              <w:rPr>
                <w:rFonts w:ascii="Calibri" w:hAnsi="Calibri" w:cs="Arial"/>
                <w:b/>
              </w:rPr>
              <w:t>Accessibility Plans and Reasonable Adjustments</w:t>
            </w:r>
          </w:p>
        </w:tc>
      </w:tr>
      <w:tr w:rsidR="00EC0CC7" w:rsidTr="00EC0CC7">
        <w:tc>
          <w:tcPr>
            <w:tcW w:w="10456" w:type="dxa"/>
          </w:tcPr>
          <w:p w:rsidR="00EC0CC7" w:rsidRDefault="00EC0CC7" w:rsidP="00180972">
            <w:pPr>
              <w:jc w:val="both"/>
              <w:rPr>
                <w:rFonts w:ascii="Calibri" w:hAnsi="Calibri" w:cs="Arial"/>
              </w:rPr>
            </w:pPr>
            <w:r w:rsidRPr="00330670">
              <w:rPr>
                <w:rFonts w:ascii="Calibri" w:hAnsi="Calibri" w:cs="Arial"/>
              </w:rPr>
              <w:t>Schools vary widely in how accessible they are to pupils. You should check what improvements have been made to a school and what is being planned when considering a school for your child. Every school must have an accessibility plan, which shows how they intend to improve accessibility for special educational needs pupils, and when.</w:t>
            </w:r>
            <w:r w:rsidR="002D0410">
              <w:rPr>
                <w:rFonts w:ascii="Calibri" w:hAnsi="Calibri" w:cs="Arial"/>
              </w:rPr>
              <w:t xml:space="preserve"> For </w:t>
            </w:r>
            <w:r w:rsidR="00C974E3">
              <w:rPr>
                <w:rFonts w:ascii="Calibri" w:hAnsi="Calibri" w:cs="Arial"/>
              </w:rPr>
              <w:t>Cherry Tree Academy</w:t>
            </w:r>
            <w:r w:rsidR="002D0410">
              <w:rPr>
                <w:rFonts w:ascii="Calibri" w:hAnsi="Calibri" w:cs="Arial"/>
              </w:rPr>
              <w:t xml:space="preserve">, this can be found </w:t>
            </w:r>
            <w:r w:rsidR="00C974E3">
              <w:rPr>
                <w:rFonts w:ascii="Calibri" w:hAnsi="Calibri" w:cs="Arial"/>
              </w:rPr>
              <w:t xml:space="preserve">on the school website.   </w:t>
            </w:r>
            <w:r w:rsidRPr="00330670">
              <w:rPr>
                <w:rFonts w:ascii="Calibri" w:hAnsi="Calibri" w:cs="Arial"/>
              </w:rPr>
              <w:t>The plan must be published and you can ask to see it. It will outline how the school will:</w:t>
            </w:r>
          </w:p>
          <w:p w:rsidR="00EC0CC7" w:rsidRPr="00330670" w:rsidRDefault="00EC0CC7" w:rsidP="00EC0CC7">
            <w:pPr>
              <w:rPr>
                <w:rFonts w:ascii="Calibri" w:hAnsi="Calibri" w:cs="Arial"/>
              </w:rPr>
            </w:pPr>
            <w:r w:rsidRPr="00330670">
              <w:rPr>
                <w:rFonts w:ascii="Calibri" w:hAnsi="Calibri" w:cs="Arial"/>
              </w:rPr>
              <w:t xml:space="preserve"> </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improve the physical environment</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make improvements in the provision of information</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 xml:space="preserve">increase access to the curriculum </w:t>
            </w:r>
          </w:p>
          <w:p w:rsidR="00EC0CC7" w:rsidRPr="00330670" w:rsidRDefault="00EC0CC7" w:rsidP="00EC0CC7">
            <w:pPr>
              <w:rPr>
                <w:rFonts w:ascii="Calibri" w:hAnsi="Calibri" w:cs="Arial"/>
              </w:rPr>
            </w:pPr>
          </w:p>
          <w:p w:rsidR="00EC0CC7" w:rsidRDefault="00EC0CC7" w:rsidP="00180972">
            <w:pPr>
              <w:jc w:val="both"/>
              <w:rPr>
                <w:rFonts w:ascii="Calibri" w:hAnsi="Calibri" w:cs="Arial"/>
              </w:rPr>
            </w:pPr>
            <w:r w:rsidRPr="00330670">
              <w:rPr>
                <w:rFonts w:ascii="Calibri" w:hAnsi="Calibri" w:cs="Arial"/>
              </w:rPr>
              <w:t>Schools can also increase access for individual pupils by making ‘reasonable adjustments’. These can be simple changes</w:t>
            </w:r>
            <w:r w:rsidR="00180972">
              <w:rPr>
                <w:rFonts w:ascii="Calibri" w:hAnsi="Calibri" w:cs="Arial"/>
              </w:rPr>
              <w:t xml:space="preserve">, </w:t>
            </w:r>
            <w:r w:rsidRPr="00330670">
              <w:rPr>
                <w:rFonts w:ascii="Calibri" w:hAnsi="Calibri" w:cs="Arial"/>
              </w:rPr>
              <w:t>such as making sure that all lessons take place in ground floor classrooms</w:t>
            </w:r>
            <w:r w:rsidR="00180972">
              <w:rPr>
                <w:rFonts w:ascii="Calibri" w:hAnsi="Calibri" w:cs="Arial"/>
              </w:rPr>
              <w:t>,</w:t>
            </w:r>
            <w:r w:rsidRPr="00330670">
              <w:rPr>
                <w:rFonts w:ascii="Calibri" w:hAnsi="Calibri" w:cs="Arial"/>
              </w:rPr>
              <w:t xml:space="preserve"> for a class</w:t>
            </w:r>
            <w:r w:rsidR="00180972">
              <w:rPr>
                <w:rFonts w:ascii="Calibri" w:hAnsi="Calibri" w:cs="Arial"/>
              </w:rPr>
              <w:t>,</w:t>
            </w:r>
            <w:r w:rsidRPr="00330670">
              <w:rPr>
                <w:rFonts w:ascii="Calibri" w:hAnsi="Calibri" w:cs="Arial"/>
              </w:rPr>
              <w:t xml:space="preserve"> where one of the pupils uses a wheelchair and the school does not have a lift. You should always talk to a school to discuss what it can reasonably do to include your child. </w:t>
            </w:r>
          </w:p>
          <w:p w:rsidR="00C974E3" w:rsidRDefault="00C974E3" w:rsidP="00180972">
            <w:pPr>
              <w:jc w:val="both"/>
              <w:rPr>
                <w:rFonts w:ascii="Calibri" w:hAnsi="Calibri" w:cs="Arial"/>
              </w:rPr>
            </w:pPr>
          </w:p>
        </w:tc>
      </w:tr>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EC0CC7">
              <w:rPr>
                <w:rFonts w:ascii="Calibri" w:hAnsi="Calibri" w:cs="Arial"/>
                <w:b/>
              </w:rPr>
              <w:t>Improvements in the Physical Environment</w:t>
            </w:r>
          </w:p>
        </w:tc>
      </w:tr>
      <w:tr w:rsidR="00EC0CC7" w:rsidTr="00EC0CC7">
        <w:tc>
          <w:tcPr>
            <w:tcW w:w="10456" w:type="dxa"/>
          </w:tcPr>
          <w:p w:rsidR="00EC0CC7" w:rsidRDefault="00EC0CC7" w:rsidP="00EC0CC7">
            <w:pPr>
              <w:rPr>
                <w:rFonts w:ascii="Calibri" w:hAnsi="Calibri" w:cs="Arial"/>
              </w:rPr>
            </w:pPr>
            <w:r w:rsidRPr="00330670">
              <w:rPr>
                <w:rFonts w:ascii="Calibri" w:hAnsi="Calibri" w:cs="Arial"/>
              </w:rPr>
              <w:t xml:space="preserve">Changes to the physical environment that a school could make to increase access might include: </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lighting and paint schemes to help visually impaired children</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lifts and ramps to help</w:t>
            </w:r>
            <w:r w:rsidR="002D0410">
              <w:rPr>
                <w:rFonts w:ascii="Calibri" w:hAnsi="Calibri" w:cs="Arial"/>
              </w:rPr>
              <w:t xml:space="preserve"> the</w:t>
            </w:r>
            <w:r w:rsidRPr="00180972">
              <w:rPr>
                <w:rFonts w:ascii="Calibri" w:hAnsi="Calibri" w:cs="Arial"/>
              </w:rPr>
              <w:t xml:space="preserve"> physically</w:t>
            </w:r>
            <w:r w:rsidR="002D0410">
              <w:rPr>
                <w:rFonts w:ascii="Calibri" w:hAnsi="Calibri" w:cs="Arial"/>
              </w:rPr>
              <w:t xml:space="preserve"> needs and/or disability of</w:t>
            </w:r>
            <w:r w:rsidRPr="00180972">
              <w:rPr>
                <w:rFonts w:ascii="Calibri" w:hAnsi="Calibri" w:cs="Arial"/>
              </w:rPr>
              <w:t xml:space="preserve"> children</w:t>
            </w:r>
          </w:p>
          <w:p w:rsidR="00EC0CC7" w:rsidRDefault="00EC0CC7" w:rsidP="00EC0CC7">
            <w:pPr>
              <w:pStyle w:val="ListParagraph"/>
              <w:numPr>
                <w:ilvl w:val="0"/>
                <w:numId w:val="16"/>
              </w:numPr>
              <w:rPr>
                <w:rFonts w:ascii="Calibri" w:hAnsi="Calibri" w:cs="Arial"/>
              </w:rPr>
            </w:pPr>
            <w:r w:rsidRPr="00180972">
              <w:rPr>
                <w:rFonts w:ascii="Calibri" w:hAnsi="Calibri" w:cs="Arial"/>
              </w:rPr>
              <w:t>carpeting and acoustic tiling of classrooms to help hearing impaired pupils</w:t>
            </w:r>
          </w:p>
          <w:p w:rsidR="00C974E3" w:rsidRPr="00180972" w:rsidRDefault="00C974E3" w:rsidP="00EC0CC7">
            <w:pPr>
              <w:pStyle w:val="ListParagraph"/>
              <w:numPr>
                <w:ilvl w:val="0"/>
                <w:numId w:val="16"/>
              </w:numPr>
              <w:rPr>
                <w:rFonts w:ascii="Calibri" w:hAnsi="Calibri" w:cs="Arial"/>
              </w:rPr>
            </w:pPr>
          </w:p>
        </w:tc>
      </w:tr>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EC0CC7">
              <w:rPr>
                <w:rFonts w:ascii="Calibri" w:hAnsi="Calibri" w:cs="Arial"/>
                <w:b/>
              </w:rPr>
              <w:t xml:space="preserve">Improving </w:t>
            </w:r>
            <w:proofErr w:type="gramStart"/>
            <w:r w:rsidRPr="00EC0CC7">
              <w:rPr>
                <w:rFonts w:ascii="Calibri" w:hAnsi="Calibri" w:cs="Arial"/>
                <w:b/>
              </w:rPr>
              <w:t>The</w:t>
            </w:r>
            <w:proofErr w:type="gramEnd"/>
            <w:r w:rsidRPr="00EC0CC7">
              <w:rPr>
                <w:rFonts w:ascii="Calibri" w:hAnsi="Calibri" w:cs="Arial"/>
                <w:b/>
              </w:rPr>
              <w:t xml:space="preserve"> Way Information Is Delivered To Pupils With Disabilities</w:t>
            </w:r>
          </w:p>
        </w:tc>
      </w:tr>
      <w:tr w:rsidR="00EC0CC7" w:rsidTr="00EC0CC7">
        <w:tc>
          <w:tcPr>
            <w:tcW w:w="10456" w:type="dxa"/>
          </w:tcPr>
          <w:p w:rsidR="00EC0CC7" w:rsidRPr="00330670" w:rsidRDefault="00EC0CC7" w:rsidP="00180972">
            <w:pPr>
              <w:jc w:val="both"/>
              <w:rPr>
                <w:rFonts w:ascii="Calibri" w:hAnsi="Calibri" w:cs="Arial"/>
              </w:rPr>
            </w:pPr>
            <w:r w:rsidRPr="00330670">
              <w:rPr>
                <w:rFonts w:ascii="Calibri" w:hAnsi="Calibri" w:cs="Arial"/>
              </w:rPr>
              <w:t xml:space="preserve">Information that is normally provided in writing (such as handouts, timetables and textbooks) can be made more accessible by providing it: </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in Braille</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in large print</w:t>
            </w:r>
          </w:p>
          <w:p w:rsidR="004D55F8" w:rsidRDefault="00EC0CC7" w:rsidP="004D55F8">
            <w:pPr>
              <w:pStyle w:val="ListParagraph"/>
              <w:numPr>
                <w:ilvl w:val="0"/>
                <w:numId w:val="16"/>
              </w:numPr>
              <w:rPr>
                <w:rFonts w:ascii="Calibri" w:hAnsi="Calibri" w:cs="Arial"/>
              </w:rPr>
            </w:pPr>
            <w:r w:rsidRPr="00180972">
              <w:rPr>
                <w:rFonts w:ascii="Calibri" w:hAnsi="Calibri" w:cs="Arial"/>
              </w:rPr>
              <w:t xml:space="preserve">on audio format </w:t>
            </w:r>
          </w:p>
          <w:p w:rsidR="00C974E3" w:rsidRDefault="00C974E3" w:rsidP="00C974E3">
            <w:pPr>
              <w:pStyle w:val="ListParagraph"/>
              <w:rPr>
                <w:rFonts w:ascii="Calibri" w:hAnsi="Calibri" w:cs="Arial"/>
              </w:rPr>
            </w:pPr>
          </w:p>
          <w:p w:rsidR="00C974E3" w:rsidRPr="00180972" w:rsidRDefault="00C974E3" w:rsidP="00C974E3">
            <w:pPr>
              <w:pStyle w:val="ListParagraph"/>
              <w:rPr>
                <w:rFonts w:ascii="Calibri" w:hAnsi="Calibri" w:cs="Arial"/>
              </w:rPr>
            </w:pPr>
          </w:p>
        </w:tc>
      </w:tr>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EC0CC7">
              <w:rPr>
                <w:rFonts w:ascii="Calibri" w:hAnsi="Calibri" w:cs="Arial"/>
                <w:b/>
              </w:rPr>
              <w:lastRenderedPageBreak/>
              <w:t>Understanding the Curriculum</w:t>
            </w:r>
          </w:p>
        </w:tc>
      </w:tr>
      <w:tr w:rsidR="00EC0CC7" w:rsidTr="00EC0CC7">
        <w:tc>
          <w:tcPr>
            <w:tcW w:w="10456" w:type="dxa"/>
          </w:tcPr>
          <w:p w:rsidR="00EC0CC7" w:rsidRPr="00330670" w:rsidRDefault="00EC0CC7" w:rsidP="00180972">
            <w:pPr>
              <w:jc w:val="both"/>
              <w:rPr>
                <w:rFonts w:ascii="Calibri" w:hAnsi="Calibri" w:cs="Arial"/>
              </w:rPr>
            </w:pPr>
            <w:r w:rsidRPr="00330670">
              <w:rPr>
                <w:rFonts w:ascii="Calibri" w:hAnsi="Calibri" w:cs="Arial"/>
              </w:rPr>
              <w:t xml:space="preserve">Adjustments that would help children with disabilities have better access to the curriculum might include: </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changes to teaching and learning arrangements</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classroom organisation</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timetabling</w:t>
            </w:r>
          </w:p>
          <w:p w:rsidR="00EC0CC7" w:rsidRDefault="00EC0CC7" w:rsidP="00330670">
            <w:pPr>
              <w:pStyle w:val="ListParagraph"/>
              <w:numPr>
                <w:ilvl w:val="0"/>
                <w:numId w:val="16"/>
              </w:numPr>
              <w:rPr>
                <w:rFonts w:ascii="Calibri" w:hAnsi="Calibri" w:cs="Arial"/>
              </w:rPr>
            </w:pPr>
            <w:r w:rsidRPr="00180972">
              <w:rPr>
                <w:rFonts w:ascii="Calibri" w:hAnsi="Calibri" w:cs="Arial"/>
              </w:rPr>
              <w:t xml:space="preserve">support from other pupils </w:t>
            </w:r>
          </w:p>
          <w:p w:rsidR="00C974E3" w:rsidRPr="00180972" w:rsidRDefault="00C974E3" w:rsidP="00C974E3">
            <w:pPr>
              <w:pStyle w:val="ListParagraph"/>
              <w:rPr>
                <w:rFonts w:ascii="Calibri" w:hAnsi="Calibri" w:cs="Arial"/>
              </w:rPr>
            </w:pPr>
          </w:p>
        </w:tc>
      </w:tr>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EC0CC7">
              <w:rPr>
                <w:rFonts w:ascii="Calibri" w:hAnsi="Calibri" w:cs="Arial"/>
                <w:b/>
              </w:rPr>
              <w:t>Assistive Technology</w:t>
            </w:r>
          </w:p>
        </w:tc>
      </w:tr>
      <w:tr w:rsidR="00EC0CC7" w:rsidTr="00EC0CC7">
        <w:tc>
          <w:tcPr>
            <w:tcW w:w="10456" w:type="dxa"/>
          </w:tcPr>
          <w:p w:rsidR="00EC0CC7" w:rsidRPr="00330670" w:rsidRDefault="00EC0CC7" w:rsidP="00180972">
            <w:pPr>
              <w:jc w:val="both"/>
              <w:rPr>
                <w:rFonts w:ascii="Calibri" w:hAnsi="Calibri" w:cs="Arial"/>
              </w:rPr>
            </w:pPr>
            <w:r w:rsidRPr="00330670">
              <w:rPr>
                <w:rFonts w:ascii="Calibri" w:hAnsi="Calibri" w:cs="Arial"/>
              </w:rPr>
              <w:t xml:space="preserve">Technology suited </w:t>
            </w:r>
            <w:r w:rsidR="00180972">
              <w:rPr>
                <w:rFonts w:ascii="Calibri" w:hAnsi="Calibri" w:cs="Arial"/>
              </w:rPr>
              <w:t xml:space="preserve">to </w:t>
            </w:r>
            <w:r w:rsidRPr="00330670">
              <w:rPr>
                <w:rFonts w:ascii="Calibri" w:hAnsi="Calibri" w:cs="Arial"/>
              </w:rPr>
              <w:t xml:space="preserve">a child's needs can help them learn faster and more easily. Examples of technology that can help include: </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touch-screen computers, joysticks and tracker balls</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easy-to-use keyboards</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interactive whiteboards</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text-to-speech software</w:t>
            </w:r>
          </w:p>
          <w:p w:rsidR="00EC0CC7" w:rsidRPr="00180972" w:rsidRDefault="00EC0CC7" w:rsidP="00180972">
            <w:pPr>
              <w:pStyle w:val="ListParagraph"/>
              <w:numPr>
                <w:ilvl w:val="0"/>
                <w:numId w:val="16"/>
              </w:numPr>
              <w:rPr>
                <w:rFonts w:ascii="Calibri" w:hAnsi="Calibri" w:cs="Arial"/>
              </w:rPr>
            </w:pPr>
            <w:r w:rsidRPr="00180972">
              <w:rPr>
                <w:rFonts w:ascii="Calibri" w:hAnsi="Calibri" w:cs="Arial"/>
              </w:rPr>
              <w:t>Braille-translation software</w:t>
            </w:r>
          </w:p>
          <w:p w:rsidR="00EC0CC7" w:rsidRDefault="00EC0CC7" w:rsidP="00EC0CC7">
            <w:pPr>
              <w:rPr>
                <w:rFonts w:ascii="Calibri" w:hAnsi="Calibri" w:cs="Arial"/>
              </w:rPr>
            </w:pPr>
          </w:p>
          <w:p w:rsidR="00C974E3" w:rsidRDefault="00EC0CC7" w:rsidP="00180972">
            <w:pPr>
              <w:jc w:val="both"/>
              <w:rPr>
                <w:rFonts w:ascii="Calibri" w:hAnsi="Calibri" w:cs="Arial"/>
              </w:rPr>
            </w:pPr>
            <w:r w:rsidRPr="00330670">
              <w:rPr>
                <w:rFonts w:ascii="Calibri" w:hAnsi="Calibri" w:cs="Arial"/>
              </w:rPr>
              <w:t>Schools may already have this kind of technology available, or may be planning to get it. Arrangements for distributing resources and funding for equipment vary throughout the UK. If your child has a</w:t>
            </w:r>
            <w:r w:rsidR="00180972">
              <w:rPr>
                <w:rFonts w:ascii="Calibri" w:hAnsi="Calibri" w:cs="Arial"/>
              </w:rPr>
              <w:t>n Education Health Care Plan (EHCP)</w:t>
            </w:r>
            <w:r w:rsidRPr="00330670">
              <w:rPr>
                <w:rFonts w:ascii="Calibri" w:hAnsi="Calibri" w:cs="Arial"/>
              </w:rPr>
              <w:t xml:space="preserve">, the </w:t>
            </w:r>
            <w:r w:rsidR="00180972">
              <w:rPr>
                <w:rFonts w:ascii="Calibri" w:hAnsi="Calibri" w:cs="Arial"/>
              </w:rPr>
              <w:t>support required,</w:t>
            </w:r>
            <w:r w:rsidRPr="00330670">
              <w:rPr>
                <w:rFonts w:ascii="Calibri" w:hAnsi="Calibri" w:cs="Arial"/>
              </w:rPr>
              <w:t xml:space="preserve"> is detailed on their </w:t>
            </w:r>
            <w:r w:rsidR="00180972">
              <w:rPr>
                <w:rFonts w:ascii="Calibri" w:hAnsi="Calibri" w:cs="Arial"/>
              </w:rPr>
              <w:t>plan</w:t>
            </w:r>
            <w:r w:rsidRPr="00330670">
              <w:rPr>
                <w:rFonts w:ascii="Calibri" w:hAnsi="Calibri" w:cs="Arial"/>
              </w:rPr>
              <w:t xml:space="preserve"> (which</w:t>
            </w:r>
            <w:r w:rsidR="00180972">
              <w:rPr>
                <w:rFonts w:ascii="Calibri" w:hAnsi="Calibri" w:cs="Arial"/>
              </w:rPr>
              <w:t xml:space="preserve"> may include special equipment).</w:t>
            </w:r>
          </w:p>
          <w:p w:rsidR="00C974E3" w:rsidRDefault="00C974E3" w:rsidP="00180972">
            <w:pPr>
              <w:jc w:val="both"/>
              <w:rPr>
                <w:rFonts w:ascii="Calibri" w:hAnsi="Calibri" w:cs="Arial"/>
              </w:rPr>
            </w:pPr>
          </w:p>
        </w:tc>
      </w:tr>
      <w:tr w:rsidR="00EC0CC7" w:rsidTr="00C974E3">
        <w:tc>
          <w:tcPr>
            <w:tcW w:w="10456" w:type="dxa"/>
            <w:shd w:val="clear" w:color="auto" w:fill="8DB3E2" w:themeFill="text2" w:themeFillTint="66"/>
          </w:tcPr>
          <w:p w:rsidR="00EC0CC7" w:rsidRPr="00180972" w:rsidRDefault="00EC0CC7" w:rsidP="00180972">
            <w:pPr>
              <w:jc w:val="center"/>
              <w:rPr>
                <w:rFonts w:ascii="Calibri" w:hAnsi="Calibri" w:cs="Arial"/>
                <w:b/>
              </w:rPr>
            </w:pPr>
            <w:r w:rsidRPr="004D55F8">
              <w:rPr>
                <w:rFonts w:ascii="Calibri" w:hAnsi="Calibri" w:cs="Arial"/>
                <w:b/>
              </w:rPr>
              <w:t>School Transport</w:t>
            </w:r>
          </w:p>
        </w:tc>
      </w:tr>
      <w:tr w:rsidR="00EC0CC7" w:rsidTr="00EC0CC7">
        <w:tc>
          <w:tcPr>
            <w:tcW w:w="10456" w:type="dxa"/>
          </w:tcPr>
          <w:p w:rsidR="002D0410" w:rsidRDefault="004D55F8" w:rsidP="00180972">
            <w:pPr>
              <w:jc w:val="both"/>
              <w:rPr>
                <w:rFonts w:ascii="Calibri" w:hAnsi="Calibri" w:cs="Arial"/>
              </w:rPr>
            </w:pPr>
            <w:r w:rsidRPr="00330670">
              <w:rPr>
                <w:rFonts w:ascii="Calibri" w:hAnsi="Calibri" w:cs="Arial"/>
              </w:rPr>
              <w:t>While the same basic rules apply to all children, the Education Authority can make a decision to provide transport on a case by case basis for a child with disabilities. Your Education Authority region office will assess your child's needs when making a decision, taking into account your child's health and/or disability. If your child is offered school transport, the vehicle should have the relevant equipment to suit your child's needs - for example wheelchair restraints, ramps or lifts. For more detailed information</w:t>
            </w:r>
            <w:r w:rsidR="00180972">
              <w:rPr>
                <w:rFonts w:ascii="Calibri" w:hAnsi="Calibri" w:cs="Arial"/>
              </w:rPr>
              <w:t>,</w:t>
            </w:r>
            <w:r w:rsidRPr="00330670">
              <w:rPr>
                <w:rFonts w:ascii="Calibri" w:hAnsi="Calibri" w:cs="Arial"/>
              </w:rPr>
              <w:t xml:space="preserve"> about approved transport arrangement, please refer to </w:t>
            </w:r>
            <w:r w:rsidR="002D0410">
              <w:rPr>
                <w:rFonts w:ascii="Calibri" w:hAnsi="Calibri" w:cs="Arial"/>
              </w:rPr>
              <w:t xml:space="preserve">Wakefield Local Authority – </w:t>
            </w:r>
          </w:p>
          <w:p w:rsidR="002D0410" w:rsidRPr="002D0410" w:rsidRDefault="00E00183" w:rsidP="002D0410">
            <w:pPr>
              <w:pStyle w:val="ListParagraph"/>
              <w:numPr>
                <w:ilvl w:val="0"/>
                <w:numId w:val="21"/>
              </w:numPr>
              <w:jc w:val="both"/>
              <w:rPr>
                <w:rFonts w:ascii="Calibri" w:hAnsi="Calibri" w:cs="Arial"/>
              </w:rPr>
            </w:pPr>
            <w:hyperlink r:id="rId10" w:history="1">
              <w:r w:rsidR="002D0410" w:rsidRPr="002D0410">
                <w:rPr>
                  <w:rStyle w:val="Hyperlink"/>
                  <w:rFonts w:ascii="Calibri" w:hAnsi="Calibri" w:cs="Arial"/>
                </w:rPr>
                <w:t>https://www.wakefield.gov.uk/schools-and-children/special-education-needs-sen/support-for-families-with-disabled-children</w:t>
              </w:r>
            </w:hyperlink>
          </w:p>
          <w:p w:rsidR="002D0410" w:rsidRDefault="00E00183" w:rsidP="00180972">
            <w:pPr>
              <w:pStyle w:val="ListParagraph"/>
              <w:numPr>
                <w:ilvl w:val="0"/>
                <w:numId w:val="21"/>
              </w:numPr>
              <w:jc w:val="both"/>
              <w:rPr>
                <w:rFonts w:ascii="Calibri" w:hAnsi="Calibri" w:cs="Arial"/>
              </w:rPr>
            </w:pPr>
            <w:hyperlink r:id="rId11" w:history="1">
              <w:r w:rsidR="002D0410" w:rsidRPr="002D0410">
                <w:rPr>
                  <w:rStyle w:val="Hyperlink"/>
                  <w:rFonts w:ascii="Calibri" w:hAnsi="Calibri" w:cs="Arial"/>
                </w:rPr>
                <w:t>https://www.wakefield.gov.uk/schools-and-children/schools/going-to-school/travel-transport/school-transport</w:t>
              </w:r>
            </w:hyperlink>
            <w:r w:rsidR="002D0410" w:rsidRPr="002D0410">
              <w:rPr>
                <w:rFonts w:ascii="Calibri" w:hAnsi="Calibri" w:cs="Arial"/>
              </w:rPr>
              <w:t xml:space="preserve"> </w:t>
            </w:r>
          </w:p>
          <w:p w:rsidR="00C974E3" w:rsidRPr="002D0410" w:rsidRDefault="00C974E3" w:rsidP="00180972">
            <w:pPr>
              <w:pStyle w:val="ListParagraph"/>
              <w:numPr>
                <w:ilvl w:val="0"/>
                <w:numId w:val="21"/>
              </w:numPr>
              <w:jc w:val="both"/>
              <w:rPr>
                <w:rFonts w:ascii="Calibri" w:hAnsi="Calibri" w:cs="Arial"/>
              </w:rPr>
            </w:pPr>
          </w:p>
        </w:tc>
      </w:tr>
      <w:tr w:rsidR="004D55F8" w:rsidTr="00C974E3">
        <w:tc>
          <w:tcPr>
            <w:tcW w:w="10456" w:type="dxa"/>
            <w:shd w:val="clear" w:color="auto" w:fill="8DB3E2" w:themeFill="text2" w:themeFillTint="66"/>
          </w:tcPr>
          <w:p w:rsidR="004D55F8" w:rsidRPr="00180972" w:rsidRDefault="004D55F8" w:rsidP="00180972">
            <w:pPr>
              <w:jc w:val="center"/>
              <w:rPr>
                <w:rFonts w:ascii="Calibri" w:hAnsi="Calibri" w:cs="Arial"/>
                <w:b/>
              </w:rPr>
            </w:pPr>
            <w:r w:rsidRPr="004D55F8">
              <w:rPr>
                <w:rFonts w:ascii="Calibri" w:hAnsi="Calibri" w:cs="Arial"/>
                <w:b/>
              </w:rPr>
              <w:t xml:space="preserve">If Your Child Cannot Attend </w:t>
            </w:r>
            <w:proofErr w:type="gramStart"/>
            <w:r w:rsidRPr="004D55F8">
              <w:rPr>
                <w:rFonts w:ascii="Calibri" w:hAnsi="Calibri" w:cs="Arial"/>
                <w:b/>
              </w:rPr>
              <w:t>For</w:t>
            </w:r>
            <w:proofErr w:type="gramEnd"/>
            <w:r w:rsidRPr="004D55F8">
              <w:rPr>
                <w:rFonts w:ascii="Calibri" w:hAnsi="Calibri" w:cs="Arial"/>
                <w:b/>
              </w:rPr>
              <w:t xml:space="preserve"> Medical Reasons</w:t>
            </w:r>
          </w:p>
        </w:tc>
      </w:tr>
      <w:tr w:rsidR="004D55F8" w:rsidTr="004D55F8">
        <w:tc>
          <w:tcPr>
            <w:tcW w:w="10456" w:type="dxa"/>
          </w:tcPr>
          <w:p w:rsidR="004D55F8" w:rsidRDefault="004D55F8" w:rsidP="00180972">
            <w:pPr>
              <w:jc w:val="both"/>
              <w:rPr>
                <w:rFonts w:ascii="Calibri" w:hAnsi="Calibri" w:cs="Arial"/>
              </w:rPr>
            </w:pPr>
            <w:r w:rsidRPr="00330670">
              <w:rPr>
                <w:rFonts w:ascii="Calibri" w:hAnsi="Calibri" w:cs="Arial"/>
              </w:rPr>
              <w:t>If your child cannot go to school because of medical needs or health problems, the Education Authority has a responsibility to enable them to continue their education. This could be achieved by lessons in</w:t>
            </w:r>
            <w:r>
              <w:rPr>
                <w:rFonts w:ascii="Calibri" w:hAnsi="Calibri" w:cs="Arial"/>
              </w:rPr>
              <w:t xml:space="preserve"> Hospital</w:t>
            </w:r>
            <w:r w:rsidR="002D0410">
              <w:rPr>
                <w:rFonts w:ascii="Calibri" w:hAnsi="Calibri" w:cs="Arial"/>
              </w:rPr>
              <w:t xml:space="preserve">, for example, or a Flexi-School Arrangement, which would be agreed and put in place with the Local Authority SEND Team and the Admissions Department. </w:t>
            </w:r>
          </w:p>
          <w:p w:rsidR="00C974E3" w:rsidRDefault="00C974E3" w:rsidP="00180972">
            <w:pPr>
              <w:jc w:val="both"/>
              <w:rPr>
                <w:rFonts w:ascii="Calibri" w:hAnsi="Calibri" w:cs="Arial"/>
              </w:rPr>
            </w:pPr>
          </w:p>
        </w:tc>
      </w:tr>
      <w:tr w:rsidR="002D0410" w:rsidTr="00C974E3">
        <w:tc>
          <w:tcPr>
            <w:tcW w:w="10456" w:type="dxa"/>
            <w:shd w:val="clear" w:color="auto" w:fill="8DB3E2" w:themeFill="text2" w:themeFillTint="66"/>
          </w:tcPr>
          <w:p w:rsidR="002D0410" w:rsidRPr="00180972" w:rsidRDefault="002D0410" w:rsidP="002D0410">
            <w:pPr>
              <w:jc w:val="center"/>
              <w:rPr>
                <w:rFonts w:ascii="Calibri" w:hAnsi="Calibri" w:cs="Arial"/>
                <w:b/>
              </w:rPr>
            </w:pPr>
            <w:r>
              <w:rPr>
                <w:rFonts w:ascii="Calibri" w:hAnsi="Calibri" w:cs="Arial"/>
                <w:b/>
              </w:rPr>
              <w:t>Physical Needs and/or Disability Access</w:t>
            </w:r>
            <w:r>
              <w:rPr>
                <w:rFonts w:ascii="Calibri" w:hAnsi="Calibri" w:cs="Arial"/>
              </w:rPr>
              <w:t xml:space="preserve"> </w:t>
            </w:r>
            <w:r>
              <w:rPr>
                <w:rFonts w:ascii="Calibri" w:hAnsi="Calibri" w:cs="Arial"/>
                <w:b/>
              </w:rPr>
              <w:t xml:space="preserve">Provision at </w:t>
            </w:r>
            <w:r w:rsidR="00C974E3">
              <w:rPr>
                <w:rFonts w:ascii="Calibri" w:hAnsi="Calibri" w:cs="Arial"/>
                <w:b/>
              </w:rPr>
              <w:t>Cherry Tree</w:t>
            </w:r>
            <w:r w:rsidR="00480E7B">
              <w:rPr>
                <w:rFonts w:ascii="Calibri" w:hAnsi="Calibri" w:cs="Arial"/>
                <w:b/>
              </w:rPr>
              <w:t xml:space="preserve"> Academy</w:t>
            </w:r>
          </w:p>
        </w:tc>
      </w:tr>
      <w:tr w:rsidR="002D0410" w:rsidTr="00074369">
        <w:tc>
          <w:tcPr>
            <w:tcW w:w="10456" w:type="dxa"/>
          </w:tcPr>
          <w:p w:rsidR="002D0410" w:rsidRDefault="00C974E3" w:rsidP="00074369">
            <w:pPr>
              <w:jc w:val="both"/>
              <w:rPr>
                <w:rFonts w:ascii="Calibri" w:hAnsi="Calibri" w:cs="Arial"/>
              </w:rPr>
            </w:pPr>
            <w:r>
              <w:rPr>
                <w:rFonts w:ascii="Calibri" w:hAnsi="Calibri" w:cs="Arial"/>
              </w:rPr>
              <w:t>Cherry Tree</w:t>
            </w:r>
            <w:r w:rsidR="00480E7B">
              <w:rPr>
                <w:rFonts w:ascii="Calibri" w:hAnsi="Calibri" w:cs="Arial"/>
              </w:rPr>
              <w:t xml:space="preserve"> Academy</w:t>
            </w:r>
            <w:r w:rsidR="002D0410">
              <w:rPr>
                <w:rFonts w:ascii="Calibri" w:hAnsi="Calibri" w:cs="Arial"/>
              </w:rPr>
              <w:t xml:space="preserve"> is </w:t>
            </w:r>
            <w:r w:rsidR="00480E7B">
              <w:rPr>
                <w:rFonts w:ascii="Calibri" w:hAnsi="Calibri" w:cs="Arial"/>
              </w:rPr>
              <w:t>able to</w:t>
            </w:r>
            <w:r w:rsidR="002D0410">
              <w:rPr>
                <w:rFonts w:ascii="Calibri" w:hAnsi="Calibri" w:cs="Arial"/>
              </w:rPr>
              <w:t xml:space="preserve"> support </w:t>
            </w:r>
            <w:r w:rsidR="00480E7B">
              <w:rPr>
                <w:rFonts w:ascii="Calibri" w:hAnsi="Calibri" w:cs="Arial"/>
              </w:rPr>
              <w:t xml:space="preserve">most </w:t>
            </w:r>
            <w:r w:rsidR="002D0410">
              <w:rPr>
                <w:rFonts w:ascii="Calibri" w:hAnsi="Calibri" w:cs="Arial"/>
              </w:rPr>
              <w:t xml:space="preserve">children with physical needs and/or disabilities. </w:t>
            </w:r>
          </w:p>
          <w:p w:rsidR="002D0410" w:rsidRDefault="002D0410" w:rsidP="00074369">
            <w:pPr>
              <w:jc w:val="both"/>
              <w:rPr>
                <w:rFonts w:ascii="Calibri" w:hAnsi="Calibri" w:cs="Arial"/>
              </w:rPr>
            </w:pPr>
          </w:p>
          <w:p w:rsidR="003340D2" w:rsidRDefault="002D0410" w:rsidP="003340D2">
            <w:pPr>
              <w:jc w:val="both"/>
              <w:rPr>
                <w:rFonts w:ascii="Calibri" w:hAnsi="Calibri" w:cs="Arial"/>
              </w:rPr>
            </w:pPr>
            <w:r>
              <w:rPr>
                <w:rFonts w:ascii="Calibri" w:hAnsi="Calibri" w:cs="Arial"/>
              </w:rPr>
              <w:t>We have a disabled toilet</w:t>
            </w:r>
            <w:r w:rsidR="00480E7B">
              <w:rPr>
                <w:rFonts w:ascii="Calibri" w:hAnsi="Calibri" w:cs="Arial"/>
              </w:rPr>
              <w:t xml:space="preserve"> which provides</w:t>
            </w:r>
            <w:r w:rsidR="003340D2">
              <w:rPr>
                <w:rFonts w:ascii="Calibri" w:hAnsi="Calibri" w:cs="Arial"/>
              </w:rPr>
              <w:t xml:space="preserve"> adequate space for a person’s wheelchair. </w:t>
            </w:r>
          </w:p>
          <w:p w:rsidR="00480E7B" w:rsidRDefault="00480E7B" w:rsidP="003340D2">
            <w:pPr>
              <w:jc w:val="both"/>
              <w:rPr>
                <w:rFonts w:ascii="Calibri" w:hAnsi="Calibri" w:cs="Arial"/>
              </w:rPr>
            </w:pPr>
          </w:p>
          <w:p w:rsidR="00480E7B" w:rsidRDefault="00480E7B" w:rsidP="003340D2">
            <w:pPr>
              <w:jc w:val="both"/>
              <w:rPr>
                <w:rFonts w:ascii="Calibri" w:hAnsi="Calibri" w:cs="Arial"/>
              </w:rPr>
            </w:pPr>
            <w:r>
              <w:rPr>
                <w:rFonts w:ascii="Calibri" w:hAnsi="Calibri" w:cs="Arial"/>
              </w:rPr>
              <w:t>Key entry and exit points are all on ground level</w:t>
            </w:r>
            <w:r w:rsidR="00C974E3">
              <w:rPr>
                <w:rFonts w:ascii="Calibri" w:hAnsi="Calibri" w:cs="Arial"/>
              </w:rPr>
              <w:t>.</w:t>
            </w:r>
            <w:r>
              <w:rPr>
                <w:rFonts w:ascii="Calibri" w:hAnsi="Calibri" w:cs="Arial"/>
              </w:rPr>
              <w:t xml:space="preserve"> </w:t>
            </w:r>
          </w:p>
          <w:p w:rsidR="003340D2" w:rsidRDefault="003340D2" w:rsidP="003340D2">
            <w:pPr>
              <w:jc w:val="both"/>
              <w:rPr>
                <w:rFonts w:ascii="Calibri" w:hAnsi="Calibri" w:cs="Arial"/>
              </w:rPr>
            </w:pPr>
          </w:p>
        </w:tc>
      </w:tr>
    </w:tbl>
    <w:p w:rsidR="002D0410" w:rsidRDefault="002D0410" w:rsidP="00330670">
      <w:pPr>
        <w:rPr>
          <w:rFonts w:ascii="Calibri" w:hAnsi="Calibri" w:cs="Arial"/>
        </w:rPr>
      </w:pPr>
    </w:p>
    <w:p w:rsidR="00C974E3" w:rsidRDefault="00C974E3" w:rsidP="00330670">
      <w:pPr>
        <w:rPr>
          <w:rFonts w:ascii="Calibri" w:hAnsi="Calibri" w:cs="Arial"/>
        </w:rPr>
      </w:pPr>
      <w:bookmarkStart w:id="0" w:name="_GoBack"/>
      <w:bookmarkEnd w:id="0"/>
    </w:p>
    <w:sectPr w:rsidR="00C974E3" w:rsidSect="00C433E9">
      <w:footerReference w:type="default" r:id="rId12"/>
      <w:pgSz w:w="11906" w:h="16838"/>
      <w:pgMar w:top="720" w:right="720" w:bottom="720" w:left="720" w:header="708"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E78" w:rsidRDefault="009F7E78" w:rsidP="00F31D09">
      <w:pPr>
        <w:spacing w:after="0" w:line="240" w:lineRule="auto"/>
      </w:pPr>
      <w:r>
        <w:separator/>
      </w:r>
    </w:p>
  </w:endnote>
  <w:endnote w:type="continuationSeparator" w:id="0">
    <w:p w:rsidR="009F7E78" w:rsidRDefault="009F7E78" w:rsidP="00F3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B7" w:rsidRDefault="00DB65B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81A5A" w:rsidRPr="00B81A5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B65B7" w:rsidRDefault="00DB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E78" w:rsidRDefault="009F7E78" w:rsidP="00F31D09">
      <w:pPr>
        <w:spacing w:after="0" w:line="240" w:lineRule="auto"/>
      </w:pPr>
      <w:r>
        <w:separator/>
      </w:r>
    </w:p>
  </w:footnote>
  <w:footnote w:type="continuationSeparator" w:id="0">
    <w:p w:rsidR="009F7E78" w:rsidRDefault="009F7E78" w:rsidP="00F3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0AE8"/>
    <w:multiLevelType w:val="hybridMultilevel"/>
    <w:tmpl w:val="4268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0842"/>
    <w:multiLevelType w:val="hybridMultilevel"/>
    <w:tmpl w:val="FD62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67863"/>
    <w:multiLevelType w:val="hybridMultilevel"/>
    <w:tmpl w:val="99B42542"/>
    <w:lvl w:ilvl="0" w:tplc="78D8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A6B7F"/>
    <w:multiLevelType w:val="hybridMultilevel"/>
    <w:tmpl w:val="56D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B6E82"/>
    <w:multiLevelType w:val="hybridMultilevel"/>
    <w:tmpl w:val="8DBE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0666E"/>
    <w:multiLevelType w:val="hybridMultilevel"/>
    <w:tmpl w:val="B856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05618"/>
    <w:multiLevelType w:val="hybridMultilevel"/>
    <w:tmpl w:val="1D1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D20BD"/>
    <w:multiLevelType w:val="hybridMultilevel"/>
    <w:tmpl w:val="4DD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51B6D"/>
    <w:multiLevelType w:val="hybridMultilevel"/>
    <w:tmpl w:val="D12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1044F"/>
    <w:multiLevelType w:val="hybridMultilevel"/>
    <w:tmpl w:val="A63E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67ACE"/>
    <w:multiLevelType w:val="hybridMultilevel"/>
    <w:tmpl w:val="6EFE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116DF"/>
    <w:multiLevelType w:val="hybridMultilevel"/>
    <w:tmpl w:val="7F7667D2"/>
    <w:lvl w:ilvl="0" w:tplc="78D8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230A8"/>
    <w:multiLevelType w:val="hybridMultilevel"/>
    <w:tmpl w:val="91224FFA"/>
    <w:lvl w:ilvl="0" w:tplc="78D8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F122A"/>
    <w:multiLevelType w:val="hybridMultilevel"/>
    <w:tmpl w:val="FDFA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D4A32"/>
    <w:multiLevelType w:val="hybridMultilevel"/>
    <w:tmpl w:val="253C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811DB"/>
    <w:multiLevelType w:val="hybridMultilevel"/>
    <w:tmpl w:val="765AF21C"/>
    <w:lvl w:ilvl="0" w:tplc="78D8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24B1B"/>
    <w:multiLevelType w:val="hybridMultilevel"/>
    <w:tmpl w:val="EAF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4762A"/>
    <w:multiLevelType w:val="hybridMultilevel"/>
    <w:tmpl w:val="D3FE3C7A"/>
    <w:lvl w:ilvl="0" w:tplc="78D8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917C5"/>
    <w:multiLevelType w:val="hybridMultilevel"/>
    <w:tmpl w:val="067C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A6647"/>
    <w:multiLevelType w:val="hybridMultilevel"/>
    <w:tmpl w:val="0E62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4231A"/>
    <w:multiLevelType w:val="hybridMultilevel"/>
    <w:tmpl w:val="C8BE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18"/>
  </w:num>
  <w:num w:numId="5">
    <w:abstractNumId w:val="0"/>
  </w:num>
  <w:num w:numId="6">
    <w:abstractNumId w:val="5"/>
  </w:num>
  <w:num w:numId="7">
    <w:abstractNumId w:val="3"/>
  </w:num>
  <w:num w:numId="8">
    <w:abstractNumId w:val="20"/>
  </w:num>
  <w:num w:numId="9">
    <w:abstractNumId w:val="14"/>
  </w:num>
  <w:num w:numId="10">
    <w:abstractNumId w:val="1"/>
  </w:num>
  <w:num w:numId="11">
    <w:abstractNumId w:val="4"/>
  </w:num>
  <w:num w:numId="12">
    <w:abstractNumId w:val="9"/>
  </w:num>
  <w:num w:numId="13">
    <w:abstractNumId w:val="6"/>
  </w:num>
  <w:num w:numId="14">
    <w:abstractNumId w:val="16"/>
  </w:num>
  <w:num w:numId="15">
    <w:abstractNumId w:val="7"/>
  </w:num>
  <w:num w:numId="16">
    <w:abstractNumId w:val="11"/>
  </w:num>
  <w:num w:numId="17">
    <w:abstractNumId w:val="2"/>
  </w:num>
  <w:num w:numId="18">
    <w:abstractNumId w:val="15"/>
  </w:num>
  <w:num w:numId="19">
    <w:abstractNumId w:val="17"/>
  </w:num>
  <w:num w:numId="20">
    <w:abstractNumId w:val="12"/>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44"/>
    <w:rsid w:val="00005E48"/>
    <w:rsid w:val="000132D7"/>
    <w:rsid w:val="000544F6"/>
    <w:rsid w:val="00065180"/>
    <w:rsid w:val="0006645A"/>
    <w:rsid w:val="000741E8"/>
    <w:rsid w:val="00076CF2"/>
    <w:rsid w:val="0008019C"/>
    <w:rsid w:val="000A3362"/>
    <w:rsid w:val="000A502C"/>
    <w:rsid w:val="000B04D3"/>
    <w:rsid w:val="000B33AC"/>
    <w:rsid w:val="000B4839"/>
    <w:rsid w:val="000B49C0"/>
    <w:rsid w:val="000D402C"/>
    <w:rsid w:val="000F290F"/>
    <w:rsid w:val="00104096"/>
    <w:rsid w:val="00106ACF"/>
    <w:rsid w:val="0010746B"/>
    <w:rsid w:val="00111E53"/>
    <w:rsid w:val="00117F3F"/>
    <w:rsid w:val="00120BAE"/>
    <w:rsid w:val="001244A0"/>
    <w:rsid w:val="00132EF8"/>
    <w:rsid w:val="00152573"/>
    <w:rsid w:val="00156A34"/>
    <w:rsid w:val="00163AEF"/>
    <w:rsid w:val="00164051"/>
    <w:rsid w:val="00164FFE"/>
    <w:rsid w:val="00180972"/>
    <w:rsid w:val="0018324B"/>
    <w:rsid w:val="00184CA0"/>
    <w:rsid w:val="00190690"/>
    <w:rsid w:val="00196FD6"/>
    <w:rsid w:val="001A0BCD"/>
    <w:rsid w:val="001B0920"/>
    <w:rsid w:val="001B1EEF"/>
    <w:rsid w:val="001B26DD"/>
    <w:rsid w:val="001B58B5"/>
    <w:rsid w:val="001C058B"/>
    <w:rsid w:val="001C7AE4"/>
    <w:rsid w:val="001D019D"/>
    <w:rsid w:val="001D49E7"/>
    <w:rsid w:val="001E53BA"/>
    <w:rsid w:val="001F1CF8"/>
    <w:rsid w:val="001F43D0"/>
    <w:rsid w:val="001F5B28"/>
    <w:rsid w:val="00200536"/>
    <w:rsid w:val="00201F07"/>
    <w:rsid w:val="00207259"/>
    <w:rsid w:val="0022553E"/>
    <w:rsid w:val="00226664"/>
    <w:rsid w:val="002266EA"/>
    <w:rsid w:val="00240205"/>
    <w:rsid w:val="00246A34"/>
    <w:rsid w:val="0026510C"/>
    <w:rsid w:val="0027327E"/>
    <w:rsid w:val="002745B4"/>
    <w:rsid w:val="0029024C"/>
    <w:rsid w:val="00293B19"/>
    <w:rsid w:val="002946C5"/>
    <w:rsid w:val="0029532F"/>
    <w:rsid w:val="00297632"/>
    <w:rsid w:val="002A2878"/>
    <w:rsid w:val="002B160E"/>
    <w:rsid w:val="002B3DC6"/>
    <w:rsid w:val="002B5544"/>
    <w:rsid w:val="002C0197"/>
    <w:rsid w:val="002C734E"/>
    <w:rsid w:val="002D0410"/>
    <w:rsid w:val="002D2C8B"/>
    <w:rsid w:val="002D34B6"/>
    <w:rsid w:val="002E30E9"/>
    <w:rsid w:val="002E75F0"/>
    <w:rsid w:val="002F4F4A"/>
    <w:rsid w:val="002F75AE"/>
    <w:rsid w:val="00324188"/>
    <w:rsid w:val="003277E6"/>
    <w:rsid w:val="00330670"/>
    <w:rsid w:val="003340D2"/>
    <w:rsid w:val="0034211B"/>
    <w:rsid w:val="00345EDD"/>
    <w:rsid w:val="00350D17"/>
    <w:rsid w:val="003611D3"/>
    <w:rsid w:val="0039035D"/>
    <w:rsid w:val="003963EC"/>
    <w:rsid w:val="00396A23"/>
    <w:rsid w:val="003A1DE6"/>
    <w:rsid w:val="003B21E7"/>
    <w:rsid w:val="003B4C25"/>
    <w:rsid w:val="003C0C35"/>
    <w:rsid w:val="003C33BE"/>
    <w:rsid w:val="003C7F84"/>
    <w:rsid w:val="003D097E"/>
    <w:rsid w:val="003D2927"/>
    <w:rsid w:val="003E5769"/>
    <w:rsid w:val="003E62FD"/>
    <w:rsid w:val="003F14F3"/>
    <w:rsid w:val="003F3840"/>
    <w:rsid w:val="003F3846"/>
    <w:rsid w:val="003F6124"/>
    <w:rsid w:val="00410CDC"/>
    <w:rsid w:val="004174A6"/>
    <w:rsid w:val="004232C0"/>
    <w:rsid w:val="00424118"/>
    <w:rsid w:val="00435C29"/>
    <w:rsid w:val="004454F1"/>
    <w:rsid w:val="00453598"/>
    <w:rsid w:val="0046064D"/>
    <w:rsid w:val="004645DA"/>
    <w:rsid w:val="00473072"/>
    <w:rsid w:val="004755E2"/>
    <w:rsid w:val="00480E7B"/>
    <w:rsid w:val="00482B4B"/>
    <w:rsid w:val="0049410F"/>
    <w:rsid w:val="0049537B"/>
    <w:rsid w:val="004A29C6"/>
    <w:rsid w:val="004B0DC9"/>
    <w:rsid w:val="004B3766"/>
    <w:rsid w:val="004B39AC"/>
    <w:rsid w:val="004D55F8"/>
    <w:rsid w:val="004D5B37"/>
    <w:rsid w:val="004D7143"/>
    <w:rsid w:val="004D7888"/>
    <w:rsid w:val="004E4EA8"/>
    <w:rsid w:val="004E5241"/>
    <w:rsid w:val="004E6DCA"/>
    <w:rsid w:val="004F0B8F"/>
    <w:rsid w:val="004F78BE"/>
    <w:rsid w:val="00511750"/>
    <w:rsid w:val="00512AEA"/>
    <w:rsid w:val="00517567"/>
    <w:rsid w:val="00520F71"/>
    <w:rsid w:val="005406C9"/>
    <w:rsid w:val="00552E5B"/>
    <w:rsid w:val="005549C1"/>
    <w:rsid w:val="00560DF2"/>
    <w:rsid w:val="00563748"/>
    <w:rsid w:val="00570229"/>
    <w:rsid w:val="00571AD0"/>
    <w:rsid w:val="00592377"/>
    <w:rsid w:val="0059453C"/>
    <w:rsid w:val="00596775"/>
    <w:rsid w:val="005A061B"/>
    <w:rsid w:val="005A151F"/>
    <w:rsid w:val="005A210F"/>
    <w:rsid w:val="005A3E0B"/>
    <w:rsid w:val="005A5183"/>
    <w:rsid w:val="005A608C"/>
    <w:rsid w:val="005A6958"/>
    <w:rsid w:val="005B0DD7"/>
    <w:rsid w:val="005D379F"/>
    <w:rsid w:val="005E6A8C"/>
    <w:rsid w:val="005F313E"/>
    <w:rsid w:val="005F6675"/>
    <w:rsid w:val="005F6FB7"/>
    <w:rsid w:val="00601BAC"/>
    <w:rsid w:val="00603148"/>
    <w:rsid w:val="006035CB"/>
    <w:rsid w:val="00616107"/>
    <w:rsid w:val="006222AB"/>
    <w:rsid w:val="00642444"/>
    <w:rsid w:val="0064363F"/>
    <w:rsid w:val="0066436A"/>
    <w:rsid w:val="00665D76"/>
    <w:rsid w:val="00696FB5"/>
    <w:rsid w:val="00697894"/>
    <w:rsid w:val="006A3131"/>
    <w:rsid w:val="006B5167"/>
    <w:rsid w:val="006C6397"/>
    <w:rsid w:val="006D248E"/>
    <w:rsid w:val="006F3D35"/>
    <w:rsid w:val="006F575A"/>
    <w:rsid w:val="00701F42"/>
    <w:rsid w:val="00705922"/>
    <w:rsid w:val="0072035A"/>
    <w:rsid w:val="00727A18"/>
    <w:rsid w:val="0073267F"/>
    <w:rsid w:val="00732740"/>
    <w:rsid w:val="00737FD9"/>
    <w:rsid w:val="0074439C"/>
    <w:rsid w:val="00744E47"/>
    <w:rsid w:val="007525BC"/>
    <w:rsid w:val="00753271"/>
    <w:rsid w:val="007629DF"/>
    <w:rsid w:val="00767846"/>
    <w:rsid w:val="00771EDB"/>
    <w:rsid w:val="00772808"/>
    <w:rsid w:val="00773958"/>
    <w:rsid w:val="007848CB"/>
    <w:rsid w:val="0078726B"/>
    <w:rsid w:val="007904AA"/>
    <w:rsid w:val="0079152E"/>
    <w:rsid w:val="007944E3"/>
    <w:rsid w:val="00794ADE"/>
    <w:rsid w:val="007A46AB"/>
    <w:rsid w:val="007C2BA9"/>
    <w:rsid w:val="007C3D09"/>
    <w:rsid w:val="007C4ADF"/>
    <w:rsid w:val="007C6BD8"/>
    <w:rsid w:val="007C6FEC"/>
    <w:rsid w:val="007D2F8B"/>
    <w:rsid w:val="007D3684"/>
    <w:rsid w:val="007D4021"/>
    <w:rsid w:val="007E71A6"/>
    <w:rsid w:val="007E7F57"/>
    <w:rsid w:val="007F128E"/>
    <w:rsid w:val="007F6ADC"/>
    <w:rsid w:val="00805507"/>
    <w:rsid w:val="008120EC"/>
    <w:rsid w:val="008148F1"/>
    <w:rsid w:val="00821B81"/>
    <w:rsid w:val="00823A96"/>
    <w:rsid w:val="00824F78"/>
    <w:rsid w:val="00837E90"/>
    <w:rsid w:val="00846957"/>
    <w:rsid w:val="008739E9"/>
    <w:rsid w:val="00876705"/>
    <w:rsid w:val="00893B8E"/>
    <w:rsid w:val="00894DE0"/>
    <w:rsid w:val="00897A24"/>
    <w:rsid w:val="008B3A9B"/>
    <w:rsid w:val="008D4981"/>
    <w:rsid w:val="008D603C"/>
    <w:rsid w:val="008F18FA"/>
    <w:rsid w:val="00907841"/>
    <w:rsid w:val="0091321C"/>
    <w:rsid w:val="00915DC1"/>
    <w:rsid w:val="009163A9"/>
    <w:rsid w:val="00933067"/>
    <w:rsid w:val="0093585B"/>
    <w:rsid w:val="009610D9"/>
    <w:rsid w:val="00966C27"/>
    <w:rsid w:val="009674BE"/>
    <w:rsid w:val="00970BDC"/>
    <w:rsid w:val="00983316"/>
    <w:rsid w:val="009861EA"/>
    <w:rsid w:val="0099772D"/>
    <w:rsid w:val="009A0DC8"/>
    <w:rsid w:val="009A2981"/>
    <w:rsid w:val="009A6E6F"/>
    <w:rsid w:val="009B0D7B"/>
    <w:rsid w:val="009B2AF9"/>
    <w:rsid w:val="009D54E1"/>
    <w:rsid w:val="009D63B8"/>
    <w:rsid w:val="009E00B2"/>
    <w:rsid w:val="009F7E78"/>
    <w:rsid w:val="00A163D1"/>
    <w:rsid w:val="00A32A10"/>
    <w:rsid w:val="00A32A68"/>
    <w:rsid w:val="00A37234"/>
    <w:rsid w:val="00A44531"/>
    <w:rsid w:val="00A51DDC"/>
    <w:rsid w:val="00A63400"/>
    <w:rsid w:val="00A63EC6"/>
    <w:rsid w:val="00A6458F"/>
    <w:rsid w:val="00A7468E"/>
    <w:rsid w:val="00A92046"/>
    <w:rsid w:val="00A959E9"/>
    <w:rsid w:val="00AA10E5"/>
    <w:rsid w:val="00AA2B81"/>
    <w:rsid w:val="00AB6034"/>
    <w:rsid w:val="00AB66F7"/>
    <w:rsid w:val="00AC3E93"/>
    <w:rsid w:val="00AC5E8A"/>
    <w:rsid w:val="00AC781F"/>
    <w:rsid w:val="00AE4119"/>
    <w:rsid w:val="00AF108F"/>
    <w:rsid w:val="00AF34A8"/>
    <w:rsid w:val="00AF79B3"/>
    <w:rsid w:val="00B02D68"/>
    <w:rsid w:val="00B03B87"/>
    <w:rsid w:val="00B16A19"/>
    <w:rsid w:val="00B230CB"/>
    <w:rsid w:val="00B25610"/>
    <w:rsid w:val="00B355C4"/>
    <w:rsid w:val="00B40285"/>
    <w:rsid w:val="00B40AD1"/>
    <w:rsid w:val="00B522F7"/>
    <w:rsid w:val="00B52732"/>
    <w:rsid w:val="00B5500C"/>
    <w:rsid w:val="00B57B7B"/>
    <w:rsid w:val="00B63CB2"/>
    <w:rsid w:val="00B677D7"/>
    <w:rsid w:val="00B718D5"/>
    <w:rsid w:val="00B72A85"/>
    <w:rsid w:val="00B7779E"/>
    <w:rsid w:val="00B81A5A"/>
    <w:rsid w:val="00B82BC2"/>
    <w:rsid w:val="00B850D4"/>
    <w:rsid w:val="00B87E5A"/>
    <w:rsid w:val="00B96CDB"/>
    <w:rsid w:val="00BC52C4"/>
    <w:rsid w:val="00BC6B85"/>
    <w:rsid w:val="00BD12F9"/>
    <w:rsid w:val="00BD165D"/>
    <w:rsid w:val="00BD5A9C"/>
    <w:rsid w:val="00BF33DD"/>
    <w:rsid w:val="00C044D1"/>
    <w:rsid w:val="00C12D2D"/>
    <w:rsid w:val="00C14158"/>
    <w:rsid w:val="00C15834"/>
    <w:rsid w:val="00C22EB6"/>
    <w:rsid w:val="00C26907"/>
    <w:rsid w:val="00C33C0D"/>
    <w:rsid w:val="00C410DE"/>
    <w:rsid w:val="00C433E9"/>
    <w:rsid w:val="00C643C8"/>
    <w:rsid w:val="00C653EF"/>
    <w:rsid w:val="00C67A6A"/>
    <w:rsid w:val="00C80A8C"/>
    <w:rsid w:val="00C85751"/>
    <w:rsid w:val="00C95D1B"/>
    <w:rsid w:val="00C974E3"/>
    <w:rsid w:val="00CA16D1"/>
    <w:rsid w:val="00CC377C"/>
    <w:rsid w:val="00CE5B7C"/>
    <w:rsid w:val="00CE788D"/>
    <w:rsid w:val="00CF05BB"/>
    <w:rsid w:val="00CF7541"/>
    <w:rsid w:val="00D01F7B"/>
    <w:rsid w:val="00D042D8"/>
    <w:rsid w:val="00D10EF7"/>
    <w:rsid w:val="00D21BA7"/>
    <w:rsid w:val="00D264A8"/>
    <w:rsid w:val="00D3148F"/>
    <w:rsid w:val="00D52CFD"/>
    <w:rsid w:val="00D71AC2"/>
    <w:rsid w:val="00D84129"/>
    <w:rsid w:val="00D84608"/>
    <w:rsid w:val="00D86757"/>
    <w:rsid w:val="00D90619"/>
    <w:rsid w:val="00D90D1D"/>
    <w:rsid w:val="00D93EDD"/>
    <w:rsid w:val="00DA3D9B"/>
    <w:rsid w:val="00DB0A6E"/>
    <w:rsid w:val="00DB65B7"/>
    <w:rsid w:val="00DC2E60"/>
    <w:rsid w:val="00DD67FC"/>
    <w:rsid w:val="00DE1CA1"/>
    <w:rsid w:val="00DF1048"/>
    <w:rsid w:val="00DF3CAD"/>
    <w:rsid w:val="00DF7540"/>
    <w:rsid w:val="00E00183"/>
    <w:rsid w:val="00E01F62"/>
    <w:rsid w:val="00E043BC"/>
    <w:rsid w:val="00E066FB"/>
    <w:rsid w:val="00E10058"/>
    <w:rsid w:val="00E10CE9"/>
    <w:rsid w:val="00E261BD"/>
    <w:rsid w:val="00E4498A"/>
    <w:rsid w:val="00E47189"/>
    <w:rsid w:val="00E54FEA"/>
    <w:rsid w:val="00E5641A"/>
    <w:rsid w:val="00E612B9"/>
    <w:rsid w:val="00E73495"/>
    <w:rsid w:val="00E73CD1"/>
    <w:rsid w:val="00E74392"/>
    <w:rsid w:val="00E9099A"/>
    <w:rsid w:val="00E94D08"/>
    <w:rsid w:val="00EA5886"/>
    <w:rsid w:val="00EC0CC7"/>
    <w:rsid w:val="00EC1EE2"/>
    <w:rsid w:val="00EC7643"/>
    <w:rsid w:val="00ED107D"/>
    <w:rsid w:val="00ED7A0E"/>
    <w:rsid w:val="00EE3187"/>
    <w:rsid w:val="00F04C2C"/>
    <w:rsid w:val="00F20291"/>
    <w:rsid w:val="00F272BD"/>
    <w:rsid w:val="00F3162D"/>
    <w:rsid w:val="00F31D09"/>
    <w:rsid w:val="00F3556D"/>
    <w:rsid w:val="00F3615C"/>
    <w:rsid w:val="00F52BAA"/>
    <w:rsid w:val="00F5378C"/>
    <w:rsid w:val="00F5727E"/>
    <w:rsid w:val="00F61669"/>
    <w:rsid w:val="00F62B05"/>
    <w:rsid w:val="00F63517"/>
    <w:rsid w:val="00F727C5"/>
    <w:rsid w:val="00F730FC"/>
    <w:rsid w:val="00F8024E"/>
    <w:rsid w:val="00F807E4"/>
    <w:rsid w:val="00F9497C"/>
    <w:rsid w:val="00FB049D"/>
    <w:rsid w:val="00FB1208"/>
    <w:rsid w:val="00FB1DC9"/>
    <w:rsid w:val="00FB3A44"/>
    <w:rsid w:val="00FB4E12"/>
    <w:rsid w:val="00FB6908"/>
    <w:rsid w:val="00FC5C1C"/>
    <w:rsid w:val="00FD2D2A"/>
    <w:rsid w:val="00FD420B"/>
    <w:rsid w:val="00FE7805"/>
    <w:rsid w:val="00FF20F6"/>
    <w:rsid w:val="00FF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83780"/>
  <w15:docId w15:val="{F1911153-F797-4F16-8AB9-56AEACE4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3C"/>
    <w:pPr>
      <w:ind w:left="720"/>
      <w:contextualSpacing/>
    </w:pPr>
  </w:style>
  <w:style w:type="paragraph" w:styleId="Header">
    <w:name w:val="header"/>
    <w:basedOn w:val="Normal"/>
    <w:link w:val="HeaderChar"/>
    <w:uiPriority w:val="99"/>
    <w:unhideWhenUsed/>
    <w:rsid w:val="00F31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D09"/>
  </w:style>
  <w:style w:type="paragraph" w:styleId="Footer">
    <w:name w:val="footer"/>
    <w:basedOn w:val="Normal"/>
    <w:link w:val="FooterChar"/>
    <w:uiPriority w:val="99"/>
    <w:unhideWhenUsed/>
    <w:rsid w:val="00F31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D09"/>
  </w:style>
  <w:style w:type="paragraph" w:styleId="BalloonText">
    <w:name w:val="Balloon Text"/>
    <w:basedOn w:val="Normal"/>
    <w:link w:val="BalloonTextChar"/>
    <w:uiPriority w:val="99"/>
    <w:semiHidden/>
    <w:unhideWhenUsed/>
    <w:rsid w:val="00F3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D09"/>
    <w:rPr>
      <w:rFonts w:ascii="Tahoma" w:hAnsi="Tahoma" w:cs="Tahoma"/>
      <w:sz w:val="16"/>
      <w:szCs w:val="16"/>
    </w:rPr>
  </w:style>
  <w:style w:type="paragraph" w:styleId="NoSpacing">
    <w:name w:val="No Spacing"/>
    <w:uiPriority w:val="1"/>
    <w:qFormat/>
    <w:rsid w:val="00B40AD1"/>
    <w:pPr>
      <w:spacing w:after="0" w:line="240" w:lineRule="auto"/>
    </w:pPr>
  </w:style>
  <w:style w:type="character" w:styleId="Hyperlink">
    <w:name w:val="Hyperlink"/>
    <w:basedOn w:val="DefaultParagraphFont"/>
    <w:uiPriority w:val="99"/>
    <w:unhideWhenUsed/>
    <w:rsid w:val="001F5B28"/>
    <w:rPr>
      <w:color w:val="0000FF" w:themeColor="hyperlink"/>
      <w:u w:val="single"/>
    </w:rPr>
  </w:style>
  <w:style w:type="paragraph" w:customStyle="1" w:styleId="Default">
    <w:name w:val="Default"/>
    <w:rsid w:val="002B3DC6"/>
    <w:pPr>
      <w:autoSpaceDE w:val="0"/>
      <w:autoSpaceDN w:val="0"/>
      <w:adjustRightInd w:val="0"/>
      <w:spacing w:after="0" w:line="20" w:lineRule="atLeast"/>
    </w:pPr>
    <w:rPr>
      <w:rFonts w:ascii="Calibri" w:eastAsia="Calibri" w:hAnsi="Calibri" w:cs="Calibri"/>
      <w:color w:val="000000"/>
      <w:sz w:val="24"/>
      <w:szCs w:val="24"/>
    </w:rPr>
  </w:style>
  <w:style w:type="table" w:styleId="TableGrid">
    <w:name w:val="Table Grid"/>
    <w:basedOn w:val="TableNormal"/>
    <w:uiPriority w:val="59"/>
    <w:rsid w:val="002B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kefield.gov.uk/schools-and-children/schools/going-to-school/travel-transport/school-transport" TargetMode="External"/><Relationship Id="rId5" Type="http://schemas.openxmlformats.org/officeDocument/2006/relationships/webSettings" Target="webSettings.xml"/><Relationship Id="rId10" Type="http://schemas.openxmlformats.org/officeDocument/2006/relationships/hyperlink" Target="https://www.wakefield.gov.uk/schools-and-children/special-education-needs-sen/support-for-families-with-disabled-childr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CA6A-6466-4A28-A526-DE42DD76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Paula Millard</cp:lastModifiedBy>
  <cp:revision>4</cp:revision>
  <cp:lastPrinted>2020-04-28T10:22:00Z</cp:lastPrinted>
  <dcterms:created xsi:type="dcterms:W3CDTF">2021-11-23T11:31:00Z</dcterms:created>
  <dcterms:modified xsi:type="dcterms:W3CDTF">2022-09-28T08:45:00Z</dcterms:modified>
</cp:coreProperties>
</file>